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03"/>
      </w:tblGrid>
      <w:tr w:rsidR="00B53A27" w:rsidRPr="00936D55" w14:paraId="101428B9" w14:textId="77777777" w:rsidTr="00B53A27">
        <w:trPr>
          <w:trHeight w:val="34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71CF3BB5" w:rsidR="00B53A27" w:rsidRPr="00936D55" w:rsidRDefault="001A234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234B">
              <w:rPr>
                <w:rFonts w:asciiTheme="minorHAnsi" w:hAnsiTheme="minorHAnsi" w:cstheme="minorHAnsi"/>
              </w:rPr>
              <w:t>Servicios Descentralizados para la Educación de los Adultos</w:t>
            </w:r>
          </w:p>
        </w:tc>
      </w:tr>
      <w:tr w:rsidR="00B53A27" w:rsidRPr="00936D55" w14:paraId="77CED2D0" w14:textId="77777777" w:rsidTr="00B53A27">
        <w:trPr>
          <w:trHeight w:val="34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0A4A21AD" w:rsidR="00B53A27" w:rsidRPr="00936D55" w:rsidRDefault="001A234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234B">
              <w:rPr>
                <w:rFonts w:asciiTheme="minorHAnsi" w:hAnsiTheme="minorHAnsi" w:cstheme="minorHAnsi"/>
              </w:rPr>
              <w:t>Instituto Sinaloense para la Educación de los Jóvenes y Adultos (ISEJA)</w:t>
            </w:r>
          </w:p>
        </w:tc>
      </w:tr>
      <w:tr w:rsidR="001A234B" w:rsidRPr="00936D55" w14:paraId="0D97458B" w14:textId="77777777" w:rsidTr="00B53A27">
        <w:trPr>
          <w:trHeight w:val="34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47A5FCF" w14:textId="4C1B72BC" w:rsidR="001A234B" w:rsidRPr="00936D55" w:rsidRDefault="001A234B" w:rsidP="001A234B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12810452" w:rsidR="001A234B" w:rsidRPr="00936D55" w:rsidRDefault="001A234B" w:rsidP="001A234B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234B">
              <w:rPr>
                <w:rFonts w:asciiTheme="minorHAnsi" w:hAnsiTheme="minorHAnsi" w:cstheme="minorHAnsi"/>
              </w:rPr>
              <w:t>Instituto Sinaloense para la Educación de los Jóvenes y Adultos (ISEJA)</w:t>
            </w:r>
          </w:p>
        </w:tc>
      </w:tr>
      <w:tr w:rsidR="00B53A27" w:rsidRPr="00936D55" w14:paraId="5D32DA8A" w14:textId="77777777" w:rsidTr="00B53A27">
        <w:trPr>
          <w:trHeight w:val="34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F53B0F2" w14:textId="2331D94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A692F5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Evaluación Específica de Desempeño</w:t>
            </w:r>
          </w:p>
        </w:tc>
      </w:tr>
      <w:tr w:rsidR="00B53A27" w:rsidRPr="00936D55" w14:paraId="5AC1B1FE" w14:textId="77777777" w:rsidTr="00B53A27">
        <w:trPr>
          <w:trHeight w:val="34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2F6C118" w14:textId="4049FF7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71D9359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38"/>
        <w:gridCol w:w="2236"/>
        <w:gridCol w:w="2733"/>
        <w:gridCol w:w="2298"/>
      </w:tblGrid>
      <w:tr w:rsidR="00936D55" w:rsidRPr="00936D55" w14:paraId="144EB42F" w14:textId="77777777" w:rsidTr="00585649">
        <w:trPr>
          <w:trHeight w:val="886"/>
          <w:tblHeader/>
        </w:trPr>
        <w:tc>
          <w:tcPr>
            <w:tcW w:w="1951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68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97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095826" w:rsidRPr="00936D55" w14:paraId="3F02C46D" w14:textId="77777777" w:rsidTr="005F659B">
        <w:trPr>
          <w:trHeight w:val="1834"/>
        </w:trPr>
        <w:tc>
          <w:tcPr>
            <w:tcW w:w="1951" w:type="dxa"/>
            <w:vAlign w:val="center"/>
          </w:tcPr>
          <w:p w14:paraId="70425297" w14:textId="27D32131" w:rsidR="00095826" w:rsidRPr="00936D55" w:rsidRDefault="00095826" w:rsidP="0009582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095826" w:rsidRPr="00936D55" w:rsidRDefault="00095826" w:rsidP="0009582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46ABFEB6" w:rsidR="00095826" w:rsidRPr="00936D55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4B">
              <w:rPr>
                <w:rFonts w:asciiTheme="minorHAnsi" w:hAnsiTheme="minorHAnsi" w:cstheme="minorHAnsi"/>
                <w:sz w:val="20"/>
                <w:szCs w:val="20"/>
              </w:rPr>
              <w:t>Ampliación de cobertura de atención en nuevas localidades mediante la creación de círculos de estudio e incorporación de figuras.</w:t>
            </w:r>
          </w:p>
        </w:tc>
        <w:tc>
          <w:tcPr>
            <w:tcW w:w="2797" w:type="dxa"/>
            <w:vAlign w:val="center"/>
          </w:tcPr>
          <w:p w14:paraId="5A8AE607" w14:textId="0655BD67" w:rsidR="00095826" w:rsidRPr="005F659B" w:rsidRDefault="005F659B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095826" w:rsidRPr="005F659B">
              <w:rPr>
                <w:rFonts w:asciiTheme="minorHAnsi" w:hAnsiTheme="minorHAnsi" w:cstheme="minorHAnsi"/>
                <w:sz w:val="20"/>
                <w:szCs w:val="20"/>
              </w:rPr>
              <w:t>e considerará gestionar la creación de círculos de estudio e incorporación de figuras en localidades que concentren mayor rezago educativo.</w:t>
            </w:r>
          </w:p>
        </w:tc>
        <w:tc>
          <w:tcPr>
            <w:tcW w:w="2339" w:type="dxa"/>
            <w:vAlign w:val="center"/>
          </w:tcPr>
          <w:p w14:paraId="1DA7876B" w14:textId="05CF0801" w:rsidR="00095826" w:rsidRPr="005F659B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 xml:space="preserve">Crear nuevos círculos de estudio para la atención de las localidades que concentren mayor rezago educativo, aunado a la incorporación de figuras. </w:t>
            </w:r>
          </w:p>
        </w:tc>
      </w:tr>
      <w:tr w:rsidR="00095826" w:rsidRPr="00936D55" w14:paraId="4D3DAD0C" w14:textId="77777777" w:rsidTr="005F659B">
        <w:trPr>
          <w:trHeight w:val="1974"/>
        </w:trPr>
        <w:tc>
          <w:tcPr>
            <w:tcW w:w="1951" w:type="dxa"/>
            <w:vAlign w:val="center"/>
          </w:tcPr>
          <w:p w14:paraId="6EBB4888" w14:textId="77777777" w:rsidR="00095826" w:rsidRPr="00936D55" w:rsidRDefault="00095826" w:rsidP="0009582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095826" w:rsidRPr="00936D55" w:rsidRDefault="00095826" w:rsidP="0009582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6749C5A3" w:rsidR="00095826" w:rsidRPr="00936D55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4B">
              <w:rPr>
                <w:rFonts w:asciiTheme="minorHAnsi" w:hAnsiTheme="minorHAnsi" w:cstheme="minorHAnsi"/>
                <w:sz w:val="20"/>
                <w:szCs w:val="20"/>
              </w:rPr>
              <w:t>Programación y desarrollo de jornadas de incorporación y acreditación de educandos.</w:t>
            </w:r>
          </w:p>
        </w:tc>
        <w:tc>
          <w:tcPr>
            <w:tcW w:w="2797" w:type="dxa"/>
            <w:vAlign w:val="center"/>
          </w:tcPr>
          <w:p w14:paraId="36B3706E" w14:textId="71E0AAAA" w:rsidR="00095826" w:rsidRPr="005F659B" w:rsidRDefault="005F659B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095826" w:rsidRPr="005F659B">
              <w:rPr>
                <w:rFonts w:asciiTheme="minorHAnsi" w:hAnsiTheme="minorHAnsi" w:cstheme="minorHAnsi"/>
                <w:sz w:val="20"/>
                <w:szCs w:val="20"/>
              </w:rPr>
              <w:t>e buscará Programar y desarrollar brigadas intensivas de incorporación y acreditación de educandos.</w:t>
            </w:r>
          </w:p>
        </w:tc>
        <w:tc>
          <w:tcPr>
            <w:tcW w:w="2339" w:type="dxa"/>
            <w:vAlign w:val="center"/>
          </w:tcPr>
          <w:p w14:paraId="1CED0DF8" w14:textId="6FA9324A" w:rsidR="00095826" w:rsidRPr="005F659B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 xml:space="preserve">Programación y participación en brigadas intensivas de incorporación y acreditación de educandos. </w:t>
            </w:r>
          </w:p>
        </w:tc>
      </w:tr>
      <w:tr w:rsidR="00095826" w:rsidRPr="00936D55" w14:paraId="6202F808" w14:textId="77777777" w:rsidTr="005F659B">
        <w:trPr>
          <w:trHeight w:val="3260"/>
        </w:trPr>
        <w:tc>
          <w:tcPr>
            <w:tcW w:w="1951" w:type="dxa"/>
            <w:vAlign w:val="center"/>
          </w:tcPr>
          <w:p w14:paraId="2FCCAB4C" w14:textId="77777777" w:rsidR="00095826" w:rsidRPr="00936D55" w:rsidRDefault="00095826" w:rsidP="0009582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095826" w:rsidRPr="00936D55" w:rsidRDefault="00095826" w:rsidP="0009582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C3DA5D5" w14:textId="0E7FB4B9" w:rsidR="00095826" w:rsidRPr="00861D0A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4B">
              <w:rPr>
                <w:rFonts w:asciiTheme="minorHAnsi" w:hAnsiTheme="minorHAnsi" w:cstheme="minorHAnsi"/>
                <w:sz w:val="20"/>
                <w:szCs w:val="20"/>
              </w:rPr>
              <w:t>Convenios de colaboración con Instituciones Educativas para que los estudiantes de nivel medio superior y superior presten su servicio social como apoyo en las tareas de incorporación y atención de jóvenes y adultos en rezago educativo</w:t>
            </w:r>
            <w:bookmarkStart w:id="1" w:name="_GoBack"/>
            <w:bookmarkEnd w:id="1"/>
            <w:r w:rsidRPr="001A23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7" w:type="dxa"/>
            <w:vAlign w:val="center"/>
          </w:tcPr>
          <w:p w14:paraId="740FC487" w14:textId="0B6B67C7" w:rsidR="00095826" w:rsidRPr="005F659B" w:rsidRDefault="005F659B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095826" w:rsidRPr="005F659B">
              <w:rPr>
                <w:rFonts w:asciiTheme="minorHAnsi" w:hAnsiTheme="minorHAnsi" w:cstheme="minorHAnsi"/>
                <w:sz w:val="20"/>
                <w:szCs w:val="20"/>
              </w:rPr>
              <w:t>e buscará celebrar convenios de colaboración con Instituciones Educativas para la prestación del servicio social de los estudiantes de nivel medio superior y superior.</w:t>
            </w:r>
          </w:p>
        </w:tc>
        <w:tc>
          <w:tcPr>
            <w:tcW w:w="2339" w:type="dxa"/>
            <w:vAlign w:val="center"/>
          </w:tcPr>
          <w:p w14:paraId="1BF35B51" w14:textId="046F70C9" w:rsidR="00095826" w:rsidRPr="005F659B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>Gestionar la celebración de convenios de colaboración (escritos o verbales) con Instituciones Educativas.</w:t>
            </w:r>
          </w:p>
        </w:tc>
      </w:tr>
      <w:tr w:rsidR="00095826" w:rsidRPr="00936D55" w14:paraId="19B1CA9B" w14:textId="77777777" w:rsidTr="005F659B">
        <w:trPr>
          <w:trHeight w:val="1610"/>
        </w:trPr>
        <w:tc>
          <w:tcPr>
            <w:tcW w:w="1951" w:type="dxa"/>
            <w:vAlign w:val="center"/>
          </w:tcPr>
          <w:p w14:paraId="65ADE659" w14:textId="77777777" w:rsidR="00095826" w:rsidRPr="00936D55" w:rsidRDefault="00095826" w:rsidP="0009582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6DE3AE42" w14:textId="4F73BBB8" w:rsidR="00095826" w:rsidRPr="00936D55" w:rsidRDefault="00095826" w:rsidP="0009582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52A11515" w14:textId="6D90EC0E" w:rsidR="00095826" w:rsidRPr="00861D0A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4B">
              <w:rPr>
                <w:rFonts w:asciiTheme="minorHAnsi" w:hAnsiTheme="minorHAnsi" w:cstheme="minorHAnsi"/>
                <w:sz w:val="20"/>
                <w:szCs w:val="20"/>
              </w:rPr>
              <w:t>Mayor aprovechamiento de la modalidad MEVyT en línea, para favorecer el ahorro en módulos impresos.</w:t>
            </w:r>
          </w:p>
        </w:tc>
        <w:tc>
          <w:tcPr>
            <w:tcW w:w="2797" w:type="dxa"/>
            <w:vAlign w:val="center"/>
          </w:tcPr>
          <w:p w14:paraId="08B2B141" w14:textId="3C204FDD" w:rsidR="00095826" w:rsidRPr="005F659B" w:rsidRDefault="005F659B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095826" w:rsidRPr="005F659B">
              <w:rPr>
                <w:rFonts w:asciiTheme="minorHAnsi" w:hAnsiTheme="minorHAnsi" w:cstheme="minorHAnsi"/>
                <w:sz w:val="20"/>
                <w:szCs w:val="20"/>
              </w:rPr>
              <w:t>e buscará reforzar la promoción del estudio del MEVyT en Línea, a través de diversos medios de difusión para incrementar el número de jóvenes y adultos que lleven sus estudios en esta modalidad.</w:t>
            </w:r>
          </w:p>
        </w:tc>
        <w:tc>
          <w:tcPr>
            <w:tcW w:w="2339" w:type="dxa"/>
            <w:vAlign w:val="center"/>
          </w:tcPr>
          <w:p w14:paraId="4A46D04C" w14:textId="42A74836" w:rsidR="00095826" w:rsidRPr="005F659B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>Promoción del estudio del MEVyT en Línea a través de medios electrónicos (Redes Sociales), pega de carteles, entre otros, para que jóvenes y adultos inicien o continúen su estudio en esta modalidad.</w:t>
            </w:r>
          </w:p>
        </w:tc>
      </w:tr>
      <w:tr w:rsidR="00095826" w:rsidRPr="00936D55" w14:paraId="15E9F0F3" w14:textId="77777777" w:rsidTr="001A234B">
        <w:trPr>
          <w:trHeight w:val="1121"/>
        </w:trPr>
        <w:tc>
          <w:tcPr>
            <w:tcW w:w="1951" w:type="dxa"/>
            <w:vAlign w:val="center"/>
          </w:tcPr>
          <w:p w14:paraId="15206DD7" w14:textId="77777777" w:rsidR="00095826" w:rsidRPr="00936D55" w:rsidRDefault="00095826" w:rsidP="0009582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1D96DD7" w14:textId="77143D14" w:rsidR="00095826" w:rsidRPr="00936D55" w:rsidRDefault="00095826" w:rsidP="0009582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1D57B643" w14:textId="01575265" w:rsidR="00095826" w:rsidRPr="00861D0A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4B">
              <w:rPr>
                <w:rFonts w:asciiTheme="minorHAnsi" w:hAnsiTheme="minorHAnsi" w:cstheme="minorHAnsi"/>
                <w:sz w:val="20"/>
                <w:szCs w:val="20"/>
              </w:rPr>
              <w:t>Continuar implementando estrategias para la prestación de servicios educativos en el Estado, apegándose a las medidas preventivas implementadas por el virus SARS-CoV2 (COVID-19.</w:t>
            </w:r>
          </w:p>
        </w:tc>
        <w:tc>
          <w:tcPr>
            <w:tcW w:w="2797" w:type="dxa"/>
            <w:vAlign w:val="center"/>
          </w:tcPr>
          <w:p w14:paraId="48F7E40F" w14:textId="44108B85" w:rsidR="00095826" w:rsidRPr="005F659B" w:rsidRDefault="005F659B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095826" w:rsidRPr="005F659B">
              <w:rPr>
                <w:rFonts w:asciiTheme="minorHAnsi" w:hAnsiTheme="minorHAnsi" w:cstheme="minorHAnsi"/>
                <w:sz w:val="20"/>
                <w:szCs w:val="20"/>
              </w:rPr>
              <w:t>e buscarán los mecanismos que permitan continuar con la implementación de las estrategias del instituto, lo anterior, apegándose a las medidas sanitarias por el COVID-19.</w:t>
            </w:r>
          </w:p>
        </w:tc>
        <w:tc>
          <w:tcPr>
            <w:tcW w:w="2339" w:type="dxa"/>
            <w:vAlign w:val="center"/>
          </w:tcPr>
          <w:p w14:paraId="06C774AD" w14:textId="2EEBCADA" w:rsidR="00095826" w:rsidRPr="005F659B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 xml:space="preserve">Continuar con la implementación de estrategias de atención como el reforzamiento de la promoción del MEVYT en línea, </w:t>
            </w:r>
            <w:r w:rsidR="005F659B" w:rsidRPr="005F659B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 xml:space="preserve"> como la presentación de exámenes en la misma modalidad, cumpliendo en todo momento con las medidas sanitarias establecidas por el COVID-19.</w:t>
            </w:r>
          </w:p>
          <w:p w14:paraId="68F4E45F" w14:textId="2CD3D03D" w:rsidR="00095826" w:rsidRPr="005F659B" w:rsidRDefault="00095826" w:rsidP="0009582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5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62EF4D" w14:textId="51931C1E" w:rsidR="00936D55" w:rsidRDefault="00936D5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3C476D11" w14:textId="745AEDD5" w:rsidR="00936D55" w:rsidRPr="00936D55" w:rsidRDefault="00936D55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D03BA73" w14:textId="6BF70A42" w:rsidR="00936D55" w:rsidRPr="00936D55" w:rsidRDefault="00936D55" w:rsidP="00936D55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>Se considera que el Informe de la Evaluación Específica de Desempeño, contiene los elementos necesarios para conocer el programa y su evolución a través del tiempo.</w:t>
      </w:r>
    </w:p>
    <w:p w14:paraId="0F5471C3" w14:textId="77777777" w:rsidR="00936D55" w:rsidRPr="00936D55" w:rsidRDefault="00936D55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922BA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936D55" w:rsidRDefault="002B45DE" w:rsidP="00936D55">
      <w:pPr>
        <w:spacing w:line="276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3.1 Sobre los resultados de la evaluación</w:t>
      </w:r>
    </w:p>
    <w:p w14:paraId="0C9C9510" w14:textId="3B247E19" w:rsidR="004D6CAC" w:rsidRPr="00587B2A" w:rsidRDefault="004D6CAC" w:rsidP="004D6CAC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>El ISEJA mostró una gran eficiencia derivado de la atención a las personas de 15 años y más, que solicitaron los servicios educativos de dicha institución.</w:t>
      </w:r>
    </w:p>
    <w:p w14:paraId="73626FF5" w14:textId="77777777" w:rsidR="004D6CAC" w:rsidRPr="00587B2A" w:rsidRDefault="004D6CAC" w:rsidP="004D6CAC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</w:p>
    <w:p w14:paraId="020662D3" w14:textId="64F70407" w:rsidR="004D6CAC" w:rsidRPr="00587B2A" w:rsidRDefault="004D6CAC" w:rsidP="004D6CAC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 xml:space="preserve">Se establecieron diversas estrategias de atención para contrarrestar los efectos del COVID-19, dándole prioridad a las plataformas digitales como la asesoría a distancia, la promoción del MEVYT en línea y la </w:t>
      </w:r>
      <w:r w:rsidRPr="00587B2A">
        <w:rPr>
          <w:rFonts w:asciiTheme="minorHAnsi" w:hAnsiTheme="minorHAnsi" w:cstheme="minorHAnsi"/>
          <w:sz w:val="20"/>
          <w:szCs w:val="20"/>
        </w:rPr>
        <w:lastRenderedPageBreak/>
        <w:t>aplicación de exámenes en la misma modalidad, además de las jornadas de incorporación en las localidades de mayor rezago educativo.</w:t>
      </w:r>
    </w:p>
    <w:p w14:paraId="731CFE7A" w14:textId="77777777" w:rsidR="004D6CAC" w:rsidRPr="00587B2A" w:rsidRDefault="004D6CAC" w:rsidP="004D6CAC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</w:p>
    <w:p w14:paraId="180E73AA" w14:textId="77777777" w:rsidR="004D6CAC" w:rsidRPr="00587B2A" w:rsidRDefault="004D6CAC" w:rsidP="004D6CAC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 xml:space="preserve">Para generar alianzas y trabajar coordinadamente en la disminución del rezago educativo en la Entidad, además del seguimiento y la atención focalizada de los grupos más vulnerables de la población, como los niños de 10 a 14 años y los adultos trabajadores de los campos agrícolas de la Entidad, se llevaron a cabo reuniones de trabajo con diversas Instituciones y Dependencias del Sector Público, Privado y Social. </w:t>
      </w:r>
    </w:p>
    <w:p w14:paraId="7662FD90" w14:textId="77777777" w:rsidR="004D6CAC" w:rsidRPr="00587B2A" w:rsidRDefault="004D6CAC" w:rsidP="004D6CAC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</w:p>
    <w:p w14:paraId="3600EDD0" w14:textId="7AC1C301" w:rsidR="004D6CAC" w:rsidRPr="00587B2A" w:rsidRDefault="004D6CAC" w:rsidP="004D6CAC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>Para continuar brindando una educación de calidad a jóvenes y adultos, en el primer trimestre se realizaron 63 eventos de formación para capacitar a figuras solidarias en la modalidad hibrida (Línea y presencial), de los ejes Lengua y Comunicación, Matemáticas y Ciencias.</w:t>
      </w:r>
    </w:p>
    <w:p w14:paraId="5CB01B54" w14:textId="77777777" w:rsidR="004D6CAC" w:rsidRPr="004D6CAC" w:rsidRDefault="004D6CAC" w:rsidP="004D6CAC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B154C64" w14:textId="77777777" w:rsidR="004D6CAC" w:rsidRPr="00587B2A" w:rsidRDefault="004D6CAC" w:rsidP="004D6CAC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>En el marco del Movimiento Nacional para la Alfabetización y la Educación (MONAE), se llevaron a cabo reuniones de trabajo con Instituciones Educativas para promocionar la prestación del servicio social de los estudiantes de nivel medio superior como apoyo en las tareas educativas.</w:t>
      </w:r>
    </w:p>
    <w:p w14:paraId="2B20813B" w14:textId="77777777" w:rsidR="004D6CAC" w:rsidRPr="00587B2A" w:rsidRDefault="004D6CAC" w:rsidP="004D6CAC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</w:p>
    <w:p w14:paraId="38AA7BC3" w14:textId="190A734D" w:rsidR="004D6CAC" w:rsidRPr="00587B2A" w:rsidRDefault="004D6CAC" w:rsidP="004D6CAC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>Se realizaron brigadas intensivas de incorporación en las localidades de mayor rezago educativo, logrando la incorporación y reincorporación de 2,797 jóvenes y adultos al programa educativo.</w:t>
      </w:r>
    </w:p>
    <w:p w14:paraId="7F5AB47D" w14:textId="77777777" w:rsidR="004D6CAC" w:rsidRPr="00587B2A" w:rsidRDefault="004D6CAC" w:rsidP="004D6CAC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12B9273" w14:textId="0D16A451" w:rsidR="00030C8A" w:rsidRPr="00587B2A" w:rsidRDefault="00030C8A" w:rsidP="00F404A0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 xml:space="preserve">El ISEJA atendió a 18,315 jóvenes y adultos en las unidades operativas del Estado de Sinaloa. </w:t>
      </w:r>
    </w:p>
    <w:p w14:paraId="64BCA4E8" w14:textId="77777777" w:rsidR="004D6CAC" w:rsidRPr="00587B2A" w:rsidRDefault="004D6CAC" w:rsidP="004D6CAC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</w:p>
    <w:p w14:paraId="4C290610" w14:textId="3A5B89A7" w:rsidR="00F404A0" w:rsidRPr="00587B2A" w:rsidRDefault="00030C8A" w:rsidP="00F404A0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>Se logro que 9,780 educandos concluyeran un nivel educativo.</w:t>
      </w:r>
    </w:p>
    <w:p w14:paraId="47EE2AD2" w14:textId="77777777" w:rsidR="004D6CAC" w:rsidRPr="00587B2A" w:rsidRDefault="004D6CAC" w:rsidP="004D6CAC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</w:p>
    <w:p w14:paraId="49249F55" w14:textId="340F3EEF" w:rsidR="004D6CAC" w:rsidRPr="00587B2A" w:rsidRDefault="004D6CAC" w:rsidP="00F404A0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587B2A">
        <w:rPr>
          <w:rFonts w:asciiTheme="minorHAnsi" w:hAnsiTheme="minorHAnsi" w:cstheme="minorHAnsi"/>
          <w:sz w:val="20"/>
          <w:szCs w:val="20"/>
        </w:rPr>
        <w:t>Se proporcionó los servicios de inscripción, acreditación y certificación de manera gratuita, a través de 56 plazas comunitarias instaladas y 2,305 círculos de estudio, distribuidos en el Estado de Sinaloa</w:t>
      </w:r>
    </w:p>
    <w:p w14:paraId="67167900" w14:textId="295A6AE7" w:rsidR="002B45DE" w:rsidRPr="00936D55" w:rsidRDefault="002B45DE" w:rsidP="00936D55">
      <w:pPr>
        <w:spacing w:line="276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936D55">
      <w:pPr>
        <w:pStyle w:val="Prrafodelista"/>
        <w:numPr>
          <w:ilvl w:val="0"/>
          <w:numId w:val="2"/>
        </w:numPr>
        <w:spacing w:line="276" w:lineRule="auto"/>
        <w:ind w:right="-14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B45D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83CD1" w14:textId="77777777" w:rsidR="009C5D0D" w:rsidRDefault="009C5D0D" w:rsidP="008E5209">
      <w:pPr>
        <w:spacing w:after="0" w:line="240" w:lineRule="auto"/>
      </w:pPr>
      <w:r>
        <w:separator/>
      </w:r>
    </w:p>
  </w:endnote>
  <w:endnote w:type="continuationSeparator" w:id="0">
    <w:p w14:paraId="6EA220C0" w14:textId="77777777" w:rsidR="009C5D0D" w:rsidRDefault="009C5D0D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637539602"/>
      <w:docPartObj>
        <w:docPartGallery w:val="Page Numbers (Bottom of Page)"/>
        <w:docPartUnique/>
      </w:docPartObj>
    </w:sdtPr>
    <w:sdtEndPr/>
    <w:sdtContent>
      <w:p w14:paraId="57B9C688" w14:textId="77777777" w:rsidR="00470687" w:rsidRPr="00470687" w:rsidRDefault="00470687" w:rsidP="00470687">
        <w:pPr>
          <w:pStyle w:val="Piedepgina"/>
          <w:jc w:val="right"/>
          <w:rPr>
            <w:b/>
          </w:rPr>
        </w:pPr>
        <w:r w:rsidRPr="00470687">
          <w:rPr>
            <w:b/>
          </w:rPr>
          <w:fldChar w:fldCharType="begin"/>
        </w:r>
        <w:r w:rsidRPr="00470687">
          <w:rPr>
            <w:b/>
          </w:rPr>
          <w:instrText>PAGE   \* MERGEFORMAT</w:instrText>
        </w:r>
        <w:r w:rsidRPr="00470687">
          <w:rPr>
            <w:b/>
          </w:rPr>
          <w:fldChar w:fldCharType="separate"/>
        </w:r>
        <w:r>
          <w:rPr>
            <w:b/>
          </w:rPr>
          <w:t>1</w:t>
        </w:r>
        <w:r w:rsidRPr="00470687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79189718"/>
      <w:docPartObj>
        <w:docPartGallery w:val="Page Numbers (Bottom of Page)"/>
        <w:docPartUnique/>
      </w:docPartObj>
    </w:sdtPr>
    <w:sdtEndPr/>
    <w:sdtContent>
      <w:p w14:paraId="53C40B9E" w14:textId="4DCC98A1" w:rsidR="00470687" w:rsidRPr="00470687" w:rsidRDefault="00470687" w:rsidP="00470687">
        <w:pPr>
          <w:pStyle w:val="Piedepgina"/>
          <w:jc w:val="right"/>
          <w:rPr>
            <w:b/>
          </w:rPr>
        </w:pPr>
        <w:r w:rsidRPr="00470687">
          <w:rPr>
            <w:b/>
          </w:rPr>
          <w:fldChar w:fldCharType="begin"/>
        </w:r>
        <w:r w:rsidRPr="00470687">
          <w:rPr>
            <w:b/>
          </w:rPr>
          <w:instrText>PAGE   \* MERGEFORMAT</w:instrText>
        </w:r>
        <w:r w:rsidRPr="00470687">
          <w:rPr>
            <w:b/>
          </w:rPr>
          <w:fldChar w:fldCharType="separate"/>
        </w:r>
        <w:r w:rsidRPr="00470687">
          <w:rPr>
            <w:b/>
            <w:lang w:val="es-ES"/>
          </w:rPr>
          <w:t>2</w:t>
        </w:r>
        <w:r w:rsidRPr="00470687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4384B" w14:textId="77777777" w:rsidR="009C5D0D" w:rsidRDefault="009C5D0D" w:rsidP="008E5209">
      <w:pPr>
        <w:spacing w:after="0" w:line="240" w:lineRule="auto"/>
      </w:pPr>
      <w:r>
        <w:separator/>
      </w:r>
    </w:p>
  </w:footnote>
  <w:footnote w:type="continuationSeparator" w:id="0">
    <w:p w14:paraId="49228138" w14:textId="77777777" w:rsidR="009C5D0D" w:rsidRDefault="009C5D0D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0C8A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95826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41C4"/>
    <w:rsid w:val="00167840"/>
    <w:rsid w:val="001763CC"/>
    <w:rsid w:val="001800BD"/>
    <w:rsid w:val="00184CB5"/>
    <w:rsid w:val="001933A0"/>
    <w:rsid w:val="0019373C"/>
    <w:rsid w:val="001A0E6E"/>
    <w:rsid w:val="001A234B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04D42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0687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D6CA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87B2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5F659B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0C5D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03DF7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D5F5D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0871"/>
    <w:rsid w:val="00F33E30"/>
    <w:rsid w:val="00F36ECC"/>
    <w:rsid w:val="00F404A0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2487-D07F-4EDC-814B-64315C3B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CLSinaloa</dc:creator>
  <cp:lastModifiedBy>Evaluacion</cp:lastModifiedBy>
  <cp:revision>4</cp:revision>
  <cp:lastPrinted>2021-10-18T17:24:00Z</cp:lastPrinted>
  <dcterms:created xsi:type="dcterms:W3CDTF">2022-08-22T15:17:00Z</dcterms:created>
  <dcterms:modified xsi:type="dcterms:W3CDTF">2022-08-22T15:35:00Z</dcterms:modified>
</cp:coreProperties>
</file>